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ΕΛΛΗΝΙΚΗ ΔΗΜΟΚΡΑΤΙΑ</w:t>
      </w: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ΝΟΜΟΣ ΛΑΣΙΘΙΟΥ</w:t>
      </w: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ΔΗΜΟΣ  ΣΗΤΕΙΑΣ</w:t>
      </w: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ΤΕΧΝΙΚΗ ΥΠΗΡΕΣΙΑ</w:t>
      </w: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</w:p>
    <w:p w:rsidR="00CC2074" w:rsidRDefault="00CC2074" w:rsidP="003901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ΠΡΟΜΗΘΕΙΑ </w:t>
      </w: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ΚΑΘΡΕΠΤΩΝ ΚΑΙ ΠΛΑΣΤΙΚΩΝ ΚΟΛΩΝΑΚΙΩΝ ΓΙΑ ΤΗ ΣΗΜΑΝΣΗ  ΔΗΜΟΤΙΚΩΝ ΟΔΩΝ</w:t>
      </w: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jc w:val="center"/>
        <w:rPr>
          <w:b/>
          <w:bCs/>
          <w:sz w:val="28"/>
          <w:szCs w:val="28"/>
        </w:rPr>
      </w:pPr>
    </w:p>
    <w:p w:rsidR="00CC2074" w:rsidRDefault="00CC2074" w:rsidP="003901AC">
      <w:pPr>
        <w:rPr>
          <w:b/>
          <w:bCs/>
          <w:sz w:val="28"/>
          <w:szCs w:val="28"/>
        </w:rPr>
      </w:pPr>
    </w:p>
    <w:p w:rsidR="00CC2074" w:rsidRDefault="00CC2074" w:rsidP="003901AC">
      <w:pPr>
        <w:rPr>
          <w:b/>
          <w:bCs/>
          <w:sz w:val="28"/>
          <w:szCs w:val="28"/>
        </w:rPr>
      </w:pPr>
    </w:p>
    <w:p w:rsidR="00CC2074" w:rsidRDefault="00CC2074" w:rsidP="003901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Προϋπολογισμός:    4.900,00  €  με ΦΠΑ </w:t>
      </w:r>
    </w:p>
    <w:p w:rsidR="00CC2074" w:rsidRDefault="00CC2074" w:rsidP="003901AC">
      <w:pPr>
        <w:rPr>
          <w:sz w:val="28"/>
          <w:szCs w:val="28"/>
        </w:rPr>
      </w:pPr>
    </w:p>
    <w:p w:rsidR="00CC2074" w:rsidRPr="00EE788F" w:rsidRDefault="00CC2074" w:rsidP="003901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Χρήση:                     20</w:t>
      </w:r>
      <w:r w:rsidRPr="00EE788F">
        <w:rPr>
          <w:b/>
          <w:bCs/>
          <w:sz w:val="28"/>
          <w:szCs w:val="28"/>
        </w:rPr>
        <w:t>15</w:t>
      </w: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>
      <w:pPr>
        <w:rPr>
          <w:lang w:val="en-US"/>
        </w:rPr>
      </w:pP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ΕΛΛΗΝΙΚΗ  ΔΗΜΟΚΡΑΤΙΑ                              </w:t>
      </w: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ΝΟΜΟΣ ΛΑΣΙΘΙΟΥ                                   </w:t>
      </w:r>
    </w:p>
    <w:p w:rsidR="00CC2074" w:rsidRPr="00E540D9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ΔΗΜΟΣ ΣΗΤΕΙΑΣ                                         ΠΡΟΜΗΘΕΙΑ  ΚΑΘΡΕΠΤΩΝ ΚΑΙ </w:t>
      </w:r>
    </w:p>
    <w:p w:rsidR="00CC2074" w:rsidRDefault="00CC2074" w:rsidP="003901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ΤΕΧΝΙΚΗ ΥΠΗΡΕΣΙΑ                                 ΠΛΑΣΤΙΚΩΝ ΚΟΛΩΝΑΚΙΩΝ                            </w:t>
      </w:r>
    </w:p>
    <w:p w:rsidR="00CC2074" w:rsidRPr="00562BC7" w:rsidRDefault="00CC2074" w:rsidP="003901AC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</w:t>
      </w:r>
      <w:r w:rsidRPr="00C31FF8">
        <w:rPr>
          <w:b/>
          <w:bCs/>
          <w:sz w:val="24"/>
          <w:szCs w:val="24"/>
        </w:rPr>
        <w:t>ΓΙΑ ΤΗ</w:t>
      </w:r>
      <w:r>
        <w:t xml:space="preserve"> </w:t>
      </w:r>
      <w:r w:rsidRPr="007F450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ΣΗΜΑΝΣΗ</w:t>
      </w:r>
      <w:r>
        <w:t xml:space="preserve">   </w:t>
      </w:r>
      <w:r w:rsidRPr="00562BC7">
        <w:rPr>
          <w:b/>
          <w:bCs/>
          <w:sz w:val="24"/>
          <w:szCs w:val="24"/>
        </w:rPr>
        <w:t>ΔΗΜΟΤΙΚΩΝ ΟΔΩΝ</w:t>
      </w:r>
    </w:p>
    <w:p w:rsidR="00CC2074" w:rsidRPr="00562BC7" w:rsidRDefault="00CC2074" w:rsidP="003901AC">
      <w:pPr>
        <w:rPr>
          <w:b/>
          <w:bCs/>
          <w:sz w:val="24"/>
          <w:szCs w:val="24"/>
        </w:rPr>
      </w:pPr>
    </w:p>
    <w:p w:rsidR="00CC2074" w:rsidRPr="00AE75B5" w:rsidRDefault="00CC2074" w:rsidP="003901AC"/>
    <w:p w:rsidR="00CC2074" w:rsidRDefault="00CC2074" w:rsidP="003901AC"/>
    <w:p w:rsidR="00CC2074" w:rsidRDefault="00CC2074" w:rsidP="003901A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ΤΕΧΝΙΚΗ  ΠΕΡΙΓΡΑΦΗ</w:t>
      </w:r>
    </w:p>
    <w:p w:rsidR="00CC2074" w:rsidRDefault="00CC2074" w:rsidP="003901AC">
      <w:pPr>
        <w:jc w:val="center"/>
        <w:rPr>
          <w:b/>
          <w:bCs/>
          <w:sz w:val="22"/>
          <w:szCs w:val="22"/>
        </w:rPr>
      </w:pPr>
    </w:p>
    <w:p w:rsidR="00CC2074" w:rsidRDefault="00CC2074" w:rsidP="003901AC">
      <w:pPr>
        <w:jc w:val="center"/>
        <w:rPr>
          <w:b/>
          <w:bCs/>
          <w:sz w:val="22"/>
          <w:szCs w:val="22"/>
        </w:rPr>
      </w:pPr>
    </w:p>
    <w:p w:rsidR="00CC2074" w:rsidRPr="00B91890" w:rsidRDefault="00CC2074" w:rsidP="003901AC">
      <w:pPr>
        <w:jc w:val="center"/>
        <w:rPr>
          <w:b/>
          <w:bCs/>
          <w:sz w:val="22"/>
          <w:szCs w:val="22"/>
        </w:rPr>
      </w:pPr>
    </w:p>
    <w:p w:rsidR="00CC2074" w:rsidRPr="0007166D" w:rsidRDefault="00CC2074" w:rsidP="003901AC">
      <w:pPr>
        <w:jc w:val="center"/>
        <w:rPr>
          <w:b/>
          <w:bCs/>
          <w:sz w:val="22"/>
          <w:szCs w:val="22"/>
        </w:rPr>
      </w:pPr>
    </w:p>
    <w:p w:rsidR="00CC2074" w:rsidRDefault="00CC2074" w:rsidP="003901AC">
      <w:pPr>
        <w:rPr>
          <w:sz w:val="22"/>
          <w:szCs w:val="22"/>
        </w:rPr>
      </w:pPr>
      <w:r>
        <w:rPr>
          <w:sz w:val="22"/>
          <w:szCs w:val="22"/>
        </w:rPr>
        <w:t xml:space="preserve">    Η  παρούσα προμήθεια αφορά την προμήθεια υλικών για την σήμανση των δημοτικών  οδών της πόλης.</w:t>
      </w:r>
    </w:p>
    <w:p w:rsidR="00CC2074" w:rsidRDefault="00CC2074" w:rsidP="003901AC">
      <w:pPr>
        <w:rPr>
          <w:sz w:val="22"/>
          <w:szCs w:val="22"/>
        </w:rPr>
      </w:pPr>
    </w:p>
    <w:p w:rsidR="00CC2074" w:rsidRDefault="00CC2074" w:rsidP="003901AC">
      <w:pPr>
        <w:rPr>
          <w:sz w:val="22"/>
          <w:szCs w:val="22"/>
        </w:rPr>
      </w:pPr>
      <w:r>
        <w:rPr>
          <w:sz w:val="22"/>
          <w:szCs w:val="22"/>
        </w:rPr>
        <w:t>Συγκεκριμένα θα αγοραστούν.</w:t>
      </w:r>
    </w:p>
    <w:p w:rsidR="00CC2074" w:rsidRDefault="00CC2074" w:rsidP="003901AC">
      <w:pPr>
        <w:rPr>
          <w:sz w:val="22"/>
          <w:szCs w:val="22"/>
        </w:rPr>
      </w:pPr>
    </w:p>
    <w:p w:rsidR="00CC2074" w:rsidRPr="00D91CA7" w:rsidRDefault="00CC2074" w:rsidP="003901A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Οριοδείκτες υψηλής αντοχής  ύψους 75εκ..  διαμέτρου 8εκ.τριών αντανακλαστικών δακτυλίων</w:t>
      </w:r>
    </w:p>
    <w:p w:rsidR="00CC2074" w:rsidRDefault="00CC2074" w:rsidP="003901AC">
      <w:pPr>
        <w:ind w:left="720"/>
        <w:rPr>
          <w:sz w:val="22"/>
          <w:szCs w:val="22"/>
        </w:rPr>
      </w:pPr>
      <w:r>
        <w:rPr>
          <w:sz w:val="22"/>
          <w:szCs w:val="22"/>
        </w:rPr>
        <w:t>Θα είναι κατασκευασμένοι από πολυουρεθάνη κυλινδρικού σχήματος  άριστης ελαστικότητας που εξασφαλίζει την επεναφορά του οριοδείκτη και μετά την επαφή του με όχημα.</w:t>
      </w:r>
    </w:p>
    <w:p w:rsidR="00CC2074" w:rsidRDefault="00CC2074" w:rsidP="003901AC">
      <w:pPr>
        <w:ind w:left="720"/>
        <w:rPr>
          <w:sz w:val="22"/>
          <w:szCs w:val="22"/>
        </w:rPr>
      </w:pPr>
      <w:r>
        <w:rPr>
          <w:sz w:val="22"/>
          <w:szCs w:val="22"/>
        </w:rPr>
        <w:t>Περιμετρικά του στύλου θα βρίσκονται τρεις ταινίες πλάτους 7 εκ. περίπου υψηλής αντανακλαστικότητας.</w:t>
      </w:r>
    </w:p>
    <w:p w:rsidR="00CC2074" w:rsidRPr="00D91CA7" w:rsidRDefault="00CC2074" w:rsidP="003901AC">
      <w:pPr>
        <w:ind w:left="720"/>
        <w:rPr>
          <w:sz w:val="22"/>
          <w:szCs w:val="22"/>
        </w:rPr>
      </w:pPr>
      <w:r>
        <w:rPr>
          <w:sz w:val="22"/>
          <w:szCs w:val="22"/>
        </w:rPr>
        <w:t>Συμπεριλαμβάνονται τα υλικά πάκτωσης.</w:t>
      </w:r>
    </w:p>
    <w:p w:rsidR="00CC2074" w:rsidRDefault="00CC2074" w:rsidP="003901AC">
      <w:pPr>
        <w:ind w:left="360"/>
        <w:rPr>
          <w:sz w:val="22"/>
          <w:szCs w:val="22"/>
        </w:rPr>
      </w:pPr>
    </w:p>
    <w:p w:rsidR="00CC2074" w:rsidRDefault="00CC2074" w:rsidP="003901A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K</w:t>
      </w:r>
      <w:r>
        <w:rPr>
          <w:sz w:val="22"/>
          <w:szCs w:val="22"/>
        </w:rPr>
        <w:t xml:space="preserve">αθρέπτης ελέγχου κυκλοφορίας  πολυκαρβονικός  διαμέτρου 60 εκ. </w:t>
      </w:r>
    </w:p>
    <w:p w:rsidR="00CC2074" w:rsidRDefault="00CC2074" w:rsidP="003901AC">
      <w:pPr>
        <w:ind w:left="720"/>
        <w:rPr>
          <w:sz w:val="22"/>
          <w:szCs w:val="22"/>
        </w:rPr>
      </w:pPr>
      <w:r>
        <w:rPr>
          <w:sz w:val="22"/>
          <w:szCs w:val="22"/>
        </w:rPr>
        <w:t>Κυρτός ευρυγώνιος άθραυστος καθρέπτης από πολυκαρβονικό υλικό υψηλής οπτικής καθαρότητας</w:t>
      </w:r>
    </w:p>
    <w:p w:rsidR="00CC2074" w:rsidRDefault="00CC2074" w:rsidP="003901A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Πλήρεις  με γαλβανισμένο συνδετικό στέλεχος για την στερέωση του καθρέπτη.   </w:t>
      </w:r>
    </w:p>
    <w:p w:rsidR="00CC2074" w:rsidRDefault="00CC2074" w:rsidP="003901AC">
      <w:pPr>
        <w:rPr>
          <w:sz w:val="22"/>
          <w:szCs w:val="22"/>
        </w:rPr>
      </w:pPr>
    </w:p>
    <w:p w:rsidR="00CC2074" w:rsidRDefault="00CC2074" w:rsidP="003901AC">
      <w:pPr>
        <w:rPr>
          <w:sz w:val="22"/>
          <w:szCs w:val="22"/>
        </w:rPr>
      </w:pPr>
      <w:r>
        <w:rPr>
          <w:sz w:val="22"/>
          <w:szCs w:val="22"/>
        </w:rPr>
        <w:t>Η δαπάνη για την προμήθεια των παραπάνω υλικών είναι 4.900,00€ και θα βαρύνει τον  ΚΑ.30-7135.007</w:t>
      </w:r>
    </w:p>
    <w:p w:rsidR="00CC2074" w:rsidRPr="00A34FBD" w:rsidRDefault="00CC2074" w:rsidP="003901AC">
      <w:pPr>
        <w:rPr>
          <w:sz w:val="22"/>
          <w:szCs w:val="22"/>
        </w:rPr>
      </w:pPr>
      <w:r>
        <w:rPr>
          <w:sz w:val="22"/>
          <w:szCs w:val="22"/>
        </w:rPr>
        <w:t>κωδικό του προϋπολογισμού του Δήμου.</w:t>
      </w:r>
    </w:p>
    <w:p w:rsidR="00CC2074" w:rsidRPr="00B91890" w:rsidRDefault="00CC2074" w:rsidP="003901AC">
      <w:pPr>
        <w:rPr>
          <w:sz w:val="22"/>
          <w:szCs w:val="22"/>
        </w:rPr>
      </w:pPr>
      <w:r w:rsidRPr="00B91890">
        <w:rPr>
          <w:sz w:val="22"/>
          <w:szCs w:val="22"/>
        </w:rPr>
        <w:t>Τα παραπ</w:t>
      </w:r>
      <w:r>
        <w:rPr>
          <w:sz w:val="22"/>
          <w:szCs w:val="22"/>
        </w:rPr>
        <w:t>άνω υλικά θα παραδοθούν στις αποθήκες του Δήμου.</w:t>
      </w:r>
    </w:p>
    <w:p w:rsidR="00CC2074" w:rsidRDefault="00CC2074" w:rsidP="003901AC">
      <w:pPr>
        <w:jc w:val="center"/>
        <w:rPr>
          <w:b/>
          <w:bCs/>
        </w:rPr>
      </w:pPr>
    </w:p>
    <w:p w:rsidR="00CC2074" w:rsidRDefault="00CC2074" w:rsidP="003901AC">
      <w:pPr>
        <w:jc w:val="center"/>
        <w:rPr>
          <w:b/>
          <w:bCs/>
        </w:rPr>
      </w:pPr>
    </w:p>
    <w:p w:rsidR="00CC2074" w:rsidRDefault="00CC2074" w:rsidP="003901AC">
      <w:pPr>
        <w:jc w:val="center"/>
        <w:rPr>
          <w:b/>
          <w:bCs/>
        </w:rPr>
      </w:pPr>
    </w:p>
    <w:p w:rsidR="00CC2074" w:rsidRDefault="00CC2074" w:rsidP="003901AC">
      <w:pPr>
        <w:rPr>
          <w:b/>
          <w:bCs/>
        </w:rPr>
      </w:pPr>
      <w:r>
        <w:rPr>
          <w:b/>
          <w:bCs/>
        </w:rPr>
        <w:t xml:space="preserve">                  </w:t>
      </w:r>
    </w:p>
    <w:p w:rsidR="00CC2074" w:rsidRDefault="00CC2074" w:rsidP="003901AC">
      <w:pPr>
        <w:jc w:val="center"/>
        <w:rPr>
          <w:b/>
          <w:bCs/>
        </w:rPr>
      </w:pPr>
    </w:p>
    <w:p w:rsidR="00CC2074" w:rsidRDefault="00CC2074" w:rsidP="00B02147">
      <w:pPr>
        <w:jc w:val="center"/>
        <w:rPr>
          <w:b/>
          <w:bCs/>
        </w:rPr>
      </w:pPr>
      <w:r>
        <w:rPr>
          <w:b/>
          <w:bCs/>
        </w:rPr>
        <w:t>Σητεία 20-5-15</w:t>
      </w:r>
    </w:p>
    <w:p w:rsidR="00CC2074" w:rsidRDefault="00CC2074" w:rsidP="003901AC">
      <w:pPr>
        <w:rPr>
          <w:b/>
          <w:bCs/>
        </w:rPr>
      </w:pPr>
    </w:p>
    <w:p w:rsidR="00CC2074" w:rsidRDefault="00CC2074" w:rsidP="003901AC">
      <w:pPr>
        <w:rPr>
          <w:b/>
          <w:bCs/>
        </w:rPr>
      </w:pPr>
      <w:r>
        <w:rPr>
          <w:b/>
          <w:bCs/>
        </w:rPr>
        <w:t xml:space="preserve">    Θεωρήθηκε                                                                                          Συντάχθηκε</w:t>
      </w:r>
    </w:p>
    <w:p w:rsidR="00CC2074" w:rsidRDefault="00CC2074" w:rsidP="003901AC">
      <w:pPr>
        <w:rPr>
          <w:b/>
          <w:bCs/>
        </w:rPr>
      </w:pPr>
    </w:p>
    <w:p w:rsidR="00CC2074" w:rsidRDefault="00CC2074" w:rsidP="003901AC">
      <w:pPr>
        <w:rPr>
          <w:b/>
          <w:bCs/>
        </w:rPr>
      </w:pPr>
    </w:p>
    <w:p w:rsidR="00CC2074" w:rsidRDefault="00CC2074" w:rsidP="003901AC">
      <w:pPr>
        <w:rPr>
          <w:b/>
          <w:bCs/>
        </w:rPr>
      </w:pPr>
    </w:p>
    <w:p w:rsidR="00CC2074" w:rsidRDefault="00CC2074" w:rsidP="003901AC">
      <w:pPr>
        <w:rPr>
          <w:b/>
          <w:bCs/>
        </w:rPr>
      </w:pPr>
    </w:p>
    <w:p w:rsidR="00CC2074" w:rsidRDefault="00CC2074" w:rsidP="003901AC">
      <w:pPr>
        <w:rPr>
          <w:b/>
          <w:bCs/>
        </w:rPr>
      </w:pPr>
      <w:r>
        <w:rPr>
          <w:b/>
          <w:bCs/>
        </w:rPr>
        <w:t xml:space="preserve">   Τσουκνάκης  Νικόλαος                                                                            Τηνιακός  Ιωσήφ</w:t>
      </w:r>
    </w:p>
    <w:p w:rsidR="00CC2074" w:rsidRDefault="00CC2074" w:rsidP="003901AC">
      <w:pPr>
        <w:rPr>
          <w:b/>
          <w:bCs/>
        </w:rPr>
      </w:pPr>
    </w:p>
    <w:p w:rsidR="00CC2074" w:rsidRDefault="00CC2074" w:rsidP="003901AC">
      <w:pPr>
        <w:rPr>
          <w:b/>
          <w:bCs/>
          <w:lang w:val="en-US"/>
        </w:rPr>
      </w:pPr>
      <w:r>
        <w:rPr>
          <w:b/>
          <w:bCs/>
        </w:rPr>
        <w:t xml:space="preserve">Πολιτικός  Μηχ/κός Ε.Μ.Π.                                                                   Μηχ/γος  Μηχ/κός Τ.Ε.              </w:t>
      </w: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p w:rsidR="00CC2074" w:rsidRDefault="00CC2074" w:rsidP="003901AC">
      <w:pPr>
        <w:rPr>
          <w:b/>
          <w:bCs/>
          <w:lang w:val="en-US"/>
        </w:rPr>
      </w:pPr>
    </w:p>
    <w:tbl>
      <w:tblPr>
        <w:tblW w:w="9240" w:type="dxa"/>
        <w:tblInd w:w="96" w:type="dxa"/>
        <w:tblLook w:val="00A0"/>
      </w:tblPr>
      <w:tblGrid>
        <w:gridCol w:w="539"/>
        <w:gridCol w:w="4940"/>
        <w:gridCol w:w="1325"/>
        <w:gridCol w:w="1512"/>
        <w:gridCol w:w="1191"/>
      </w:tblGrid>
      <w:tr w:rsidR="00CC2074" w:rsidRPr="003901A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ΕΛΛΗΝΙΚΗ ΔΗΜΟΚΡΑΤΙΑ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ΠΡΟΜΗΘΕΙΑ ΚΑΘΡΕΠΤΩΝ &amp; ΠΛΑΣΤΙΚΩΝ</w:t>
            </w:r>
          </w:p>
        </w:tc>
      </w:tr>
      <w:tr w:rsidR="00CC2074" w:rsidRPr="003901A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ΝΟΜΟΣ ΛΑΣΙΘΙΟΥ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 xml:space="preserve">ΚΟΛΩΝΑΚΙΩΝ ΓΙΑ ΤΗ ΣΗΜΑΝΣΗ </w:t>
            </w:r>
          </w:p>
        </w:tc>
      </w:tr>
      <w:tr w:rsidR="00CC2074" w:rsidRPr="003901A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ΔΗΜΟΣ ΣΗΤΕΙΑΣ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ΔΗΜΟΤΙΚΩΝ ΟΔΩΝ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16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ΕΝΔΕΙΚΤΙΚΟΣ ΠΡΟΥΠΟΛΟΓΙΣΜΟΣ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A/A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C2074" w:rsidRPr="003901AC" w:rsidRDefault="00CC2074" w:rsidP="003901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ΠΕΡΙΓΡΑΦΗ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ΠΟΣΟΤΗΤΑ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ΤΙΜΕΣ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ΔΑΠΑΝΕΣ</w:t>
            </w: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ΚΑΘΡΕΠΤΕΣ Φ60 ΠΟΛΥΚΑΡΒΟΝΙΚΟΙ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121,18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2.423,60</w:t>
            </w:r>
          </w:p>
        </w:tc>
      </w:tr>
      <w:tr w:rsidR="00CC2074" w:rsidRPr="003901AC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ΟΡΙΟΔΕΙΚΤΕΣ ΑΘΡΑΥΣΤΟΙ 75ΕΚ ΔΙΑΜΕΤΡΟΥ 8CM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52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30,00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1.560,00</w:t>
            </w:r>
          </w:p>
        </w:tc>
      </w:tr>
      <w:tr w:rsidR="00CC2074" w:rsidRPr="003901A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3.983,60</w:t>
            </w:r>
          </w:p>
        </w:tc>
      </w:tr>
      <w:tr w:rsidR="00CC2074" w:rsidRPr="003901A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 xml:space="preserve">    ΦΠΑ 23%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916,40</w:t>
            </w:r>
          </w:p>
        </w:tc>
      </w:tr>
      <w:tr w:rsidR="00CC2074" w:rsidRPr="003901A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074" w:rsidRPr="003901AC" w:rsidRDefault="00CC2074" w:rsidP="003901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901AC">
              <w:rPr>
                <w:rFonts w:ascii="Arial" w:hAnsi="Arial" w:cs="Arial"/>
                <w:b/>
                <w:bCs/>
              </w:rPr>
              <w:t>ΓΕΝ.ΣΥΝΟΛΟ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2074" w:rsidRPr="003901AC" w:rsidRDefault="00CC2074" w:rsidP="003901AC">
            <w:pPr>
              <w:jc w:val="right"/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4.900,00</w:t>
            </w:r>
          </w:p>
        </w:tc>
      </w:tr>
      <w:tr w:rsidR="00CC2074" w:rsidRPr="003901AC">
        <w:trPr>
          <w:trHeight w:val="12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B02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Σητεία  20-5-15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 xml:space="preserve">ΘΕΩΡΗΘΗΚΕ  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ΣΥΝΤΑΧΘΗΚΕ</w:t>
            </w:r>
          </w:p>
        </w:tc>
      </w:tr>
      <w:tr w:rsidR="00CC2074" w:rsidRPr="003901AC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ΤΣΟΥΚΝΑΚΗΣ ΝΙΚΟΛΑΟΣ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ΤΗΝΙΑΚΟΣ ΙΩΣΗΦ</w:t>
            </w: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Πολιτικός Μηχανικός ΕΜΠ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  <w:r w:rsidRPr="003901AC">
              <w:rPr>
                <w:rFonts w:ascii="Arial" w:hAnsi="Arial" w:cs="Arial"/>
              </w:rPr>
              <w:t>Μηχ/γος Μηχανικός ΤΕ</w:t>
            </w: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  <w:tr w:rsidR="00CC2074" w:rsidRPr="003901AC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074" w:rsidRPr="003901AC" w:rsidRDefault="00CC2074" w:rsidP="003901AC">
            <w:pPr>
              <w:rPr>
                <w:rFonts w:ascii="Arial" w:hAnsi="Arial" w:cs="Arial"/>
              </w:rPr>
            </w:pPr>
          </w:p>
        </w:tc>
      </w:tr>
    </w:tbl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p w:rsidR="00CC2074" w:rsidRDefault="00CC2074" w:rsidP="003901AC">
      <w:pPr>
        <w:rPr>
          <w:lang w:val="en-US"/>
        </w:rPr>
      </w:pPr>
    </w:p>
    <w:tbl>
      <w:tblPr>
        <w:tblW w:w="9394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0"/>
        <w:gridCol w:w="1620"/>
        <w:gridCol w:w="3814"/>
      </w:tblGrid>
      <w:tr w:rsidR="00CC2074" w:rsidRPr="00545477">
        <w:tc>
          <w:tcPr>
            <w:tcW w:w="3960" w:type="dxa"/>
          </w:tcPr>
          <w:p w:rsidR="00CC2074" w:rsidRPr="00DC4957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240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496647067" r:id="rId6"/>
              </w:pict>
            </w:r>
            <w:r w:rsidRPr="0049120A">
              <w:rPr>
                <w:rFonts w:ascii="Georgia" w:hAnsi="Georgia" w:cs="Georgia"/>
                <w:sz w:val="22"/>
                <w:szCs w:val="22"/>
              </w:rPr>
              <w:br w:type="page"/>
            </w:r>
            <w:r>
              <w:rPr>
                <w:rFonts w:ascii="Georgia" w:hAnsi="Georgia" w:cs="Georgia"/>
                <w:sz w:val="22"/>
                <w:szCs w:val="22"/>
              </w:rPr>
              <w:t>Ε</w:t>
            </w:r>
            <w:r w:rsidRPr="00DC4957">
              <w:rPr>
                <w:rFonts w:ascii="Georgia" w:hAnsi="Georgia" w:cs="Georgia"/>
                <w:sz w:val="22"/>
                <w:szCs w:val="22"/>
              </w:rPr>
              <w:t xml:space="preserve">ΛΛΗΝΙΚΗ ΔΗΜΟΚΡΑΤΙΑ                                              </w:t>
            </w:r>
          </w:p>
          <w:p w:rsidR="00CC2074" w:rsidRPr="0067298D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  <w:r w:rsidRPr="00DC4957">
              <w:rPr>
                <w:rFonts w:ascii="Georgia" w:hAnsi="Georgia" w:cs="Georgia"/>
                <w:sz w:val="22"/>
                <w:szCs w:val="22"/>
              </w:rPr>
              <w:t>Δ Η Μ Ο Σ   Σ Η Τ Ε Ι Α Σ</w:t>
            </w:r>
            <w:r>
              <w:rPr>
                <w:color w:val="000000"/>
              </w:rPr>
              <w:t xml:space="preserve">   </w:t>
            </w:r>
            <w:r w:rsidRPr="001C4F14">
              <w:rPr>
                <w:color w:val="000000"/>
              </w:rPr>
              <w:t xml:space="preserve">                                     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620" w:type="dxa"/>
          </w:tcPr>
          <w:p w:rsidR="00CC2074" w:rsidRPr="004B04F7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  <w:r w:rsidRPr="0067298D">
              <w:rPr>
                <w:rFonts w:ascii="Georgia" w:hAnsi="Georgia" w:cs="Georgia"/>
                <w:sz w:val="22"/>
                <w:szCs w:val="22"/>
              </w:rPr>
              <w:t>ΠΡΟΜΗΘΕΙΑ:</w:t>
            </w: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>ΠΙΣΤΩΣΕΙΣ :</w:t>
            </w:r>
          </w:p>
          <w:p w:rsidR="00CC2074" w:rsidRPr="0067298D" w:rsidRDefault="00CC2074" w:rsidP="00CA1079">
            <w:pPr>
              <w:jc w:val="center"/>
              <w:rPr>
                <w:rFonts w:ascii="Georgia" w:hAnsi="Georgia" w:cs="Georgia"/>
                <w:sz w:val="22"/>
                <w:szCs w:val="22"/>
              </w:rPr>
            </w:pPr>
          </w:p>
        </w:tc>
        <w:tc>
          <w:tcPr>
            <w:tcW w:w="3814" w:type="dxa"/>
          </w:tcPr>
          <w:p w:rsidR="00CC2074" w:rsidRPr="004B04F7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</w:p>
          <w:p w:rsidR="00CC2074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</w:p>
          <w:p w:rsidR="00CC2074" w:rsidRPr="006E4C96" w:rsidRDefault="00CC2074" w:rsidP="00CA1079">
            <w:pPr>
              <w:jc w:val="center"/>
              <w:rPr>
                <w:rFonts w:ascii="Georgia" w:hAnsi="Georgia" w:cs="Georgi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eorgia" w:hAnsi="Georgia" w:cs="Georgia"/>
                <w:b/>
                <w:bCs/>
                <w:sz w:val="22"/>
                <w:szCs w:val="22"/>
                <w:u w:val="single"/>
              </w:rPr>
              <w:t>Καθρεπτών &amp; πλαστικών κολωνακίων για τη σήμανση δημοτικών οδών</w:t>
            </w:r>
          </w:p>
          <w:p w:rsidR="00CC2074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</w:p>
          <w:p w:rsidR="00CC2074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</w:p>
          <w:p w:rsidR="00CC2074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</w:p>
          <w:p w:rsidR="00CC2074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 xml:space="preserve">Ιδ. Πόροι φορέων </w:t>
            </w:r>
          </w:p>
          <w:p w:rsidR="00CC2074" w:rsidRPr="004B04F7" w:rsidRDefault="00CC2074" w:rsidP="00CA1079">
            <w:pPr>
              <w:rPr>
                <w:rFonts w:ascii="Georgia" w:hAnsi="Georgia" w:cs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>Αρ. Μελέτης : 21/2015</w:t>
            </w:r>
          </w:p>
          <w:p w:rsidR="00CC2074" w:rsidRPr="004B04F7" w:rsidRDefault="00CC2074" w:rsidP="00CA1079">
            <w:pPr>
              <w:rPr>
                <w:rFonts w:ascii="Georgia" w:hAnsi="Georgia" w:cs="Georgia"/>
                <w:color w:val="FF0000"/>
                <w:sz w:val="22"/>
                <w:szCs w:val="22"/>
              </w:rPr>
            </w:pPr>
          </w:p>
        </w:tc>
      </w:tr>
    </w:tbl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</w:p>
    <w:p w:rsidR="00CC2074" w:rsidRDefault="00CC2074" w:rsidP="003901AC">
      <w:pPr>
        <w:pStyle w:val="Heading4"/>
        <w:rPr>
          <w:rFonts w:ascii="Georgia" w:hAnsi="Georgia" w:cs="Georgia"/>
        </w:rPr>
      </w:pPr>
      <w:r w:rsidRPr="00BA2DF6">
        <w:rPr>
          <w:rFonts w:ascii="Georgia" w:hAnsi="Georgia" w:cs="Georgia"/>
        </w:rPr>
        <w:t>ΓΕΝΙΚΗ, ΕΙΔΙΚΗ ΣΥΓΓΡΑΦΗ ΥΠΟΧΡΕΩΣΕΩΝ</w:t>
      </w:r>
    </w:p>
    <w:p w:rsidR="00CC2074" w:rsidRPr="00794953" w:rsidRDefault="00CC2074" w:rsidP="003901AC"/>
    <w:p w:rsidR="00CC2074" w:rsidRPr="003C5EFB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3C5EFB">
        <w:rPr>
          <w:rFonts w:ascii="Georgia" w:hAnsi="Georgia" w:cs="Georgia"/>
          <w:b/>
          <w:bCs/>
          <w:sz w:val="22"/>
          <w:szCs w:val="22"/>
        </w:rPr>
        <w:t xml:space="preserve">Άρθρο </w:t>
      </w:r>
      <w:r>
        <w:rPr>
          <w:rFonts w:ascii="Georgia" w:hAnsi="Georgia" w:cs="Georgia"/>
          <w:b/>
          <w:bCs/>
          <w:sz w:val="22"/>
          <w:szCs w:val="22"/>
        </w:rPr>
        <w:t xml:space="preserve">1 ο </w:t>
      </w:r>
      <w:r w:rsidRPr="003C5EFB">
        <w:rPr>
          <w:rFonts w:ascii="Georgia" w:hAnsi="Georgia" w:cs="Georgia"/>
          <w:b/>
          <w:bCs/>
          <w:sz w:val="22"/>
          <w:szCs w:val="22"/>
        </w:rPr>
        <w:t xml:space="preserve"> : Αντικείμενο της προμήθειας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Αντικείμενο της παρούσας συγγραφής είναι ο καθορισμός των όρων βάσει των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οποίων θα διενεργηθεί από το Δήμο </w:t>
      </w:r>
      <w:r>
        <w:rPr>
          <w:rFonts w:ascii="Georgia" w:hAnsi="Georgia" w:cs="Georgia"/>
          <w:sz w:val="22"/>
          <w:szCs w:val="22"/>
        </w:rPr>
        <w:t>Σητείας</w:t>
      </w:r>
      <w:r w:rsidRPr="00BA2DF6">
        <w:rPr>
          <w:rFonts w:ascii="Georgia" w:hAnsi="Georgia" w:cs="Georgia"/>
          <w:sz w:val="22"/>
          <w:szCs w:val="22"/>
        </w:rPr>
        <w:t xml:space="preserve"> η προμήθεια</w:t>
      </w:r>
    </w:p>
    <w:p w:rsidR="00CC2074" w:rsidRDefault="00CC2074" w:rsidP="003901AC">
      <w:pPr>
        <w:jc w:val="center"/>
        <w:rPr>
          <w:rFonts w:ascii="Georgia" w:hAnsi="Georgia" w:cs="Georgia"/>
          <w:sz w:val="22"/>
          <w:szCs w:val="22"/>
        </w:rPr>
      </w:pPr>
    </w:p>
    <w:p w:rsidR="00CC2074" w:rsidRPr="006E4C96" w:rsidRDefault="00CC2074" w:rsidP="003901AC">
      <w:pPr>
        <w:jc w:val="center"/>
        <w:rPr>
          <w:rFonts w:ascii="Georgia" w:hAnsi="Georgia" w:cs="Georgia"/>
          <w:b/>
          <w:bCs/>
          <w:sz w:val="22"/>
          <w:szCs w:val="22"/>
          <w:u w:val="single"/>
        </w:rPr>
      </w:pPr>
      <w:r w:rsidRPr="00BA2DF6">
        <w:rPr>
          <w:rFonts w:ascii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b/>
          <w:bCs/>
          <w:sz w:val="22"/>
          <w:szCs w:val="22"/>
          <w:u w:val="single"/>
        </w:rPr>
        <w:t>Καθρεπτών &amp; πλαστικών κολωνακίων για τη σήμανση δημοτικών οδών</w:t>
      </w:r>
    </w:p>
    <w:p w:rsidR="00CC2074" w:rsidRPr="00856FF2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  <w:u w:val="single"/>
        </w:rPr>
      </w:pPr>
    </w:p>
    <w:p w:rsidR="00CC2074" w:rsidRPr="00C030DD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 για τις ανάγκες </w:t>
      </w:r>
      <w:r>
        <w:rPr>
          <w:rFonts w:ascii="Georgia" w:hAnsi="Georgia" w:cs="Georgia"/>
          <w:sz w:val="22"/>
          <w:szCs w:val="22"/>
        </w:rPr>
        <w:t xml:space="preserve">του Δήμου Σητείας. 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</w:p>
    <w:p w:rsidR="00CC2074" w:rsidRPr="00C030DD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C030DD">
        <w:rPr>
          <w:rFonts w:ascii="Georgia" w:hAnsi="Georgia" w:cs="Georgia"/>
          <w:sz w:val="22"/>
          <w:szCs w:val="22"/>
        </w:rPr>
        <w:t xml:space="preserve">Η σύναψη σύμβασης εκτέλεσης προμήθειας θα πραγματοποιηθεί με </w:t>
      </w:r>
      <w:r>
        <w:rPr>
          <w:rFonts w:ascii="Georgia" w:hAnsi="Georgia" w:cs="Georgia"/>
          <w:sz w:val="22"/>
          <w:szCs w:val="22"/>
        </w:rPr>
        <w:t>απευθείας ανάθεση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</w:p>
    <w:p w:rsidR="00CC2074" w:rsidRPr="00C6687E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C030DD">
        <w:rPr>
          <w:rFonts w:ascii="Georgia" w:hAnsi="Georgia" w:cs="Georgia"/>
          <w:sz w:val="22"/>
          <w:szCs w:val="22"/>
        </w:rPr>
        <w:t xml:space="preserve"> Οι ενδιαφερόμενοι έχουν τη δυνατότητα να υποβάλλουν προσφορά για το σύνολο των ειδών της προμήθειας</w:t>
      </w:r>
      <w:r w:rsidRPr="00C6687E">
        <w:rPr>
          <w:rFonts w:ascii="Georgia" w:hAnsi="Georgia" w:cs="Georgia"/>
          <w:sz w:val="22"/>
          <w:szCs w:val="22"/>
        </w:rPr>
        <w:t xml:space="preserve"> 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CC2074" w:rsidRPr="003C5EFB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3C5EFB">
        <w:rPr>
          <w:rFonts w:ascii="Georgia" w:hAnsi="Georgia" w:cs="Georgia"/>
          <w:b/>
          <w:bCs/>
          <w:sz w:val="22"/>
          <w:szCs w:val="22"/>
        </w:rPr>
        <w:t>Άρθρο 2 ο : Ισχύουσες διατάξεις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Η εκτέλεση της προμήθειας διέπεται από τις διατάξεις :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A) Του ΕΚΠΟΤΑ ( ΥΑ 11389/ΦΕΚ 185 Β / 23-3-1993 )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B) Του Ν. 2286/95 περί προμηθειών δημόσιου τομέα και συναφών θεμάτων.</w:t>
      </w:r>
    </w:p>
    <w:p w:rsidR="00CC2074" w:rsidRPr="003C5EFB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3C5EFB">
        <w:rPr>
          <w:rFonts w:ascii="Georgia" w:hAnsi="Georgia" w:cs="Georgia"/>
          <w:b/>
          <w:bCs/>
          <w:sz w:val="22"/>
          <w:szCs w:val="22"/>
        </w:rPr>
        <w:t>Άρθρο 3 ο : Σύμβαση</w:t>
      </w:r>
    </w:p>
    <w:p w:rsidR="00CC2074" w:rsidRPr="00921571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921571">
        <w:rPr>
          <w:rFonts w:ascii="Georgia" w:hAnsi="Georgia" w:cs="Georgia"/>
          <w:sz w:val="22"/>
          <w:szCs w:val="22"/>
        </w:rPr>
        <w:t>Ο συμβατικός χρόνος της προμήθειας αρχίζει με την υπογραφή της σύμβασης</w:t>
      </w:r>
    </w:p>
    <w:p w:rsidR="00CC2074" w:rsidRPr="00921571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921571">
        <w:rPr>
          <w:rFonts w:ascii="Georgia" w:hAnsi="Georgia" w:cs="Georgia"/>
          <w:sz w:val="22"/>
          <w:szCs w:val="22"/>
        </w:rPr>
        <w:t xml:space="preserve">Η διάρκεια της σύμβασης ορίζεται </w:t>
      </w:r>
      <w:r>
        <w:rPr>
          <w:rFonts w:ascii="Georgia" w:hAnsi="Georgia" w:cs="Georgia"/>
          <w:sz w:val="22"/>
          <w:szCs w:val="22"/>
        </w:rPr>
        <w:t>σε 1 μήνα από την υπογραφή της</w:t>
      </w:r>
      <w:r w:rsidRPr="00921571">
        <w:rPr>
          <w:rFonts w:ascii="Georgia" w:hAnsi="Georgia" w:cs="Georgia"/>
          <w:sz w:val="22"/>
          <w:szCs w:val="22"/>
        </w:rPr>
        <w:t>, η σύμβαση δύναται να παραταθεί, μετά από εισήγηση της επιτροπής αξιολόγησης του διαγωνισμού του άρθρου 46 του ΕΚΠΟΤΑ  και έγκριση του Δημοτικού Συμβουλίου ή αντίστοιχα του Διοικητικού συμβουλίου έκαστου νομικού Προσώπου. Στην περίπτωση αυτή ο Προμηθευτής υποχρεούται να ι</w:t>
      </w:r>
      <w:r>
        <w:rPr>
          <w:rFonts w:ascii="Georgia" w:hAnsi="Georgia" w:cs="Georgia"/>
          <w:sz w:val="22"/>
          <w:szCs w:val="22"/>
        </w:rPr>
        <w:t xml:space="preserve">κανοποιήσει το αίτημα του κάθε φορέα </w:t>
      </w:r>
      <w:r w:rsidRPr="00921571">
        <w:rPr>
          <w:rFonts w:ascii="Georgia" w:hAnsi="Georgia" w:cs="Georgia"/>
          <w:sz w:val="22"/>
          <w:szCs w:val="22"/>
        </w:rPr>
        <w:t>με την ίδια ακριβώς τιμή με αυτή της προσφοράς του.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Ο ανάδοχος της προμήθειας αυτής, μετά την κατά νόμο έγκριση του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 xml:space="preserve">αποτελέσματος, υποχρεούται να προσέλθει μέσα σε 10 μέρες από την ημερομηνία </w:t>
      </w:r>
      <w:r>
        <w:rPr>
          <w:rFonts w:ascii="Georgia" w:hAnsi="Georgia" w:cs="Georgia"/>
          <w:sz w:val="22"/>
          <w:szCs w:val="22"/>
        </w:rPr>
        <w:t xml:space="preserve">της </w:t>
      </w:r>
      <w:r w:rsidRPr="00BA2DF6">
        <w:rPr>
          <w:rFonts w:ascii="Georgia" w:hAnsi="Georgia" w:cs="Georgia"/>
          <w:sz w:val="22"/>
          <w:szCs w:val="22"/>
        </w:rPr>
        <w:t>κοινοποίησης της ανακοίνωσης της κατακύρωσης για να υπογράψει τη σύμβαση και να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 xml:space="preserve">την καταθέσει κατά το άρθρο </w:t>
      </w:r>
      <w:r>
        <w:rPr>
          <w:rFonts w:ascii="Georgia" w:hAnsi="Georgia" w:cs="Georgia"/>
          <w:sz w:val="22"/>
          <w:szCs w:val="22"/>
        </w:rPr>
        <w:t>4</w:t>
      </w:r>
      <w:r w:rsidRPr="00BA2DF6">
        <w:rPr>
          <w:rFonts w:ascii="Georgia" w:hAnsi="Georgia" w:cs="Georgia"/>
          <w:sz w:val="22"/>
          <w:szCs w:val="22"/>
        </w:rPr>
        <w:t xml:space="preserve"> της παρούσας, εγγύηση για την καλή εκτέλεση αυτής.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</w:p>
    <w:p w:rsidR="00CC2074" w:rsidRPr="003C5EFB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3C5EFB">
        <w:rPr>
          <w:rFonts w:ascii="Georgia" w:hAnsi="Georgia" w:cs="Georgia"/>
          <w:b/>
          <w:bCs/>
          <w:sz w:val="22"/>
          <w:szCs w:val="22"/>
        </w:rPr>
        <w:t>Άρθρο 4 ο : Εγγυήσ</w:t>
      </w:r>
      <w:r>
        <w:rPr>
          <w:rFonts w:ascii="Georgia" w:hAnsi="Georgia" w:cs="Georgia"/>
          <w:b/>
          <w:bCs/>
          <w:sz w:val="22"/>
          <w:szCs w:val="22"/>
        </w:rPr>
        <w:t>εις</w:t>
      </w:r>
    </w:p>
    <w:p w:rsidR="00CC2074" w:rsidRPr="001B3941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1B3941">
        <w:rPr>
          <w:rFonts w:ascii="Georgia" w:hAnsi="Georgia" w:cs="Georgia"/>
          <w:sz w:val="22"/>
          <w:szCs w:val="22"/>
        </w:rPr>
        <w:t xml:space="preserve">Η εγγύηση καλής εκτέλεσης της σύμβασης καθορίζεται σε </w:t>
      </w:r>
      <w:r>
        <w:rPr>
          <w:rFonts w:ascii="Georgia" w:hAnsi="Georgia" w:cs="Georgia"/>
          <w:sz w:val="22"/>
          <w:szCs w:val="22"/>
        </w:rPr>
        <w:t>5</w:t>
      </w:r>
      <w:r w:rsidRPr="001B3941">
        <w:rPr>
          <w:rFonts w:ascii="Georgia" w:hAnsi="Georgia" w:cs="Georgia"/>
          <w:sz w:val="22"/>
          <w:szCs w:val="22"/>
        </w:rPr>
        <w:t xml:space="preserve"> % της συμβατικής αξίας της προμήθειας εκτός Φ. Π. Α., σύμφωνα με το (β) εδάφιο της 1ης παραγράφου του 157ου άρθρου του Ν. 4281/2014.</w:t>
      </w:r>
    </w:p>
    <w:p w:rsidR="00CC2074" w:rsidRPr="001B3941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1B3941">
        <w:rPr>
          <w:rFonts w:ascii="Georgia" w:hAnsi="Georgia" w:cs="Georgia"/>
          <w:sz w:val="22"/>
          <w:szCs w:val="22"/>
        </w:rPr>
        <w:t>Η εγγύηση καλής εκτέλεσης καταπίπτει στην περίπτωση παράβασης των όρων της σύμβασης, όπως αυτή ειδικότερα ορίζει.</w:t>
      </w:r>
    </w:p>
    <w:p w:rsidR="00CC2074" w:rsidRPr="001B3941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1B3941">
        <w:rPr>
          <w:rFonts w:ascii="Georgia" w:hAnsi="Georgia" w:cs="Georgia"/>
          <w:sz w:val="22"/>
          <w:szCs w:val="22"/>
        </w:rPr>
        <w:t>Η εγγύηση καλής εκτέλεσης της σύμβασης επιστρέφεται εις τον ανάδοχο της</w:t>
      </w:r>
    </w:p>
    <w:p w:rsidR="00CC2074" w:rsidRPr="001B3941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1B3941">
        <w:rPr>
          <w:rFonts w:ascii="Georgia" w:hAnsi="Georgia" w:cs="Georgia"/>
          <w:sz w:val="22"/>
          <w:szCs w:val="22"/>
        </w:rPr>
        <w:t>προμήθειας μετά από την οριστική ποσοτική και ποιοτική παραλαβή και ύστερα από την εκκαθάριση των τυχόν απαιτήσεων από τους δύο συμβαλλόμενους.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CC2074" w:rsidRPr="003E3B3D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3E3B3D">
        <w:rPr>
          <w:rFonts w:ascii="Georgia" w:hAnsi="Georgia" w:cs="Georgia"/>
          <w:b/>
          <w:bCs/>
          <w:sz w:val="22"/>
          <w:szCs w:val="22"/>
        </w:rPr>
        <w:t>Άρθρο 5 ο : Παραλαβή υλικών</w:t>
      </w:r>
      <w:r>
        <w:rPr>
          <w:rFonts w:ascii="Georgia" w:hAnsi="Georgia" w:cs="Georgia"/>
          <w:b/>
          <w:bCs/>
          <w:sz w:val="22"/>
          <w:szCs w:val="22"/>
        </w:rPr>
        <w:t>-Πληρωμή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Η παραλαβή και ο χρόνος των υλικών ρυθμίζονται σύμφωνα με τα άρθρα 28 και 29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>του ΕΚΠΟΤΑ.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Οι παραλαβές γίνονται από τους φορείς ξεχωριστά , με δικές τους ξεχωριστές επιτροπές παραλαβής για κάθε φορέα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Η παράδοση των ειδών θα γίνεται  μέσα στο χρόνο παράδοσης που ορίζει η </w:t>
      </w:r>
      <w:r>
        <w:rPr>
          <w:rFonts w:ascii="Georgia" w:hAnsi="Georgia" w:cs="Georgia"/>
          <w:sz w:val="22"/>
          <w:szCs w:val="22"/>
        </w:rPr>
        <w:t>σύμβαση</w:t>
      </w:r>
      <w:r w:rsidRPr="00BA2DF6">
        <w:rPr>
          <w:rFonts w:ascii="Georgia" w:hAnsi="Georgia" w:cs="Georgia"/>
          <w:sz w:val="22"/>
          <w:szCs w:val="22"/>
        </w:rPr>
        <w:t>, στο χώρο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>που θα υποδειχθεί από το γραφείο προμηθειών της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υπηρεσίας με έξοδα του αναδόχου. 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 Σε κάθε περίπτωση ο ανάδοχος υποχρεούται να ικανοποιήσει το αίτημα τ</w:t>
      </w:r>
      <w:r>
        <w:rPr>
          <w:rFonts w:ascii="Georgia" w:hAnsi="Georgia" w:cs="Georgia"/>
          <w:sz w:val="22"/>
          <w:szCs w:val="22"/>
        </w:rPr>
        <w:t>ων φορέων</w:t>
      </w:r>
      <w:r w:rsidRPr="00BA2DF6">
        <w:rPr>
          <w:rFonts w:ascii="Georgia" w:hAnsi="Georgia" w:cs="Georgia"/>
          <w:sz w:val="22"/>
          <w:szCs w:val="22"/>
        </w:rPr>
        <w:t>, με την ίδια ακριβώς τιμή με αυτή της προσφοράς του.Μετά από την παραλαβή των υπό προμήθεια ειδών ,την έκδοση του τιμολογίου του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>προμηθευτή , την προσκόμιση των νόμιμων</w:t>
      </w:r>
      <w:r>
        <w:rPr>
          <w:rFonts w:ascii="Georgia" w:hAnsi="Georgia" w:cs="Georgia"/>
          <w:sz w:val="22"/>
          <w:szCs w:val="22"/>
        </w:rPr>
        <w:t xml:space="preserve"> δ</w:t>
      </w:r>
      <w:r w:rsidRPr="00BA2DF6">
        <w:rPr>
          <w:rFonts w:ascii="Georgia" w:hAnsi="Georgia" w:cs="Georgia"/>
          <w:sz w:val="22"/>
          <w:szCs w:val="22"/>
        </w:rPr>
        <w:t>ικαιολογητικών και την ολοκλήρωση κάθε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>νόμιμου ελέγχου από την υπηρεσία του Επιτρόπου Ελεγκτικού Συνεδρίου , ο δήμος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>υποχρεούται να εξοφλεί τον προμηθευτή μέσα σε διάστημα εξήντα (60) ημερών (Π.Δ.166/2003)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CC2074" w:rsidRPr="000C6A4E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0C6A4E">
        <w:rPr>
          <w:rFonts w:ascii="Georgia" w:hAnsi="Georgia" w:cs="Georgia"/>
          <w:b/>
          <w:bCs/>
          <w:sz w:val="22"/>
          <w:szCs w:val="22"/>
        </w:rPr>
        <w:t>Άρθρο 6 ο : Ποινικές ρήτρες - έκπτωση του αναδόχου</w:t>
      </w:r>
    </w:p>
    <w:p w:rsidR="00CC2074" w:rsidRDefault="00CC2074" w:rsidP="003901AC">
      <w:pPr>
        <w:autoSpaceDE w:val="0"/>
        <w:autoSpaceDN w:val="0"/>
        <w:adjustRightInd w:val="0"/>
        <w:rPr>
          <w:sz w:val="22"/>
          <w:szCs w:val="22"/>
        </w:rPr>
      </w:pPr>
      <w:r w:rsidRPr="006035C7">
        <w:rPr>
          <w:rFonts w:ascii="Georgia" w:hAnsi="Georgia" w:cs="Georgia"/>
          <w:sz w:val="22"/>
          <w:szCs w:val="22"/>
        </w:rPr>
        <w:t>Εάν υπάρξει αδικαιολόγητη υπέρβαση της συμβατικής προθεσμίας εκτέλεσης της προμήθειας, μπορεί να επιβληθούν σε βάρος του αναδόχου κυρώσεις σύμφωνα με το 33ο άρθρο τ</w:t>
      </w:r>
      <w:r>
        <w:rPr>
          <w:rFonts w:ascii="Georgia" w:hAnsi="Georgia" w:cs="Georgia"/>
          <w:sz w:val="22"/>
          <w:szCs w:val="22"/>
        </w:rPr>
        <w:t>ου ΕΚΠΟΤΑ</w:t>
      </w:r>
      <w:r w:rsidRPr="006035C7">
        <w:rPr>
          <w:rFonts w:ascii="Georgia" w:hAnsi="Georgia" w:cs="Georgia"/>
          <w:sz w:val="22"/>
          <w:szCs w:val="22"/>
        </w:rPr>
        <w:t>. Επίσης, εάν ο ανάδοχος δεν προσέλθει εντός της προθεσμίας αυτής μπορεί να κηρυχθεί έκπτωτος σύμφωνα με το 35ο άρθρο τ</w:t>
      </w:r>
      <w:r>
        <w:rPr>
          <w:rFonts w:ascii="Georgia" w:hAnsi="Georgia" w:cs="Georgia"/>
          <w:sz w:val="22"/>
          <w:szCs w:val="22"/>
        </w:rPr>
        <w:t>ου</w:t>
      </w:r>
      <w:r w:rsidRPr="006035C7">
        <w:rPr>
          <w:rFonts w:ascii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sz w:val="22"/>
          <w:szCs w:val="22"/>
        </w:rPr>
        <w:t xml:space="preserve">ΕΚΠΟΤΑ </w:t>
      </w:r>
      <w:r w:rsidRPr="006035C7">
        <w:rPr>
          <w:rFonts w:ascii="Georgia" w:hAnsi="Georgia" w:cs="Georgia"/>
          <w:sz w:val="22"/>
          <w:szCs w:val="22"/>
        </w:rPr>
        <w:t>, εκτός αν η καθυστέρηση θεωρείται αναγκαία, οπότε η παράταση δίνεται από το Δημοτικό Συμβούλιο ύστερα από σχετική αίτηση του αναδόχου.</w:t>
      </w:r>
      <w:r>
        <w:rPr>
          <w:sz w:val="22"/>
          <w:szCs w:val="22"/>
        </w:rPr>
        <w:t xml:space="preserve"> 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CC2074" w:rsidRPr="000C6A4E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0C6A4E">
        <w:rPr>
          <w:rFonts w:ascii="Georgia" w:hAnsi="Georgia" w:cs="Georgia"/>
          <w:b/>
          <w:bCs/>
          <w:sz w:val="22"/>
          <w:szCs w:val="22"/>
        </w:rPr>
        <w:t>Άρθρο 7 ο : Πλημμελής κατασκευή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6035C7">
        <w:rPr>
          <w:rFonts w:ascii="Georgia" w:hAnsi="Georgia" w:cs="Georgia"/>
          <w:sz w:val="22"/>
          <w:szCs w:val="22"/>
        </w:rPr>
        <w:t xml:space="preserve">Εφ’ όσον τα προς προμήθεια είδη δεν ανταποκρίνονται στους όρους της σύμβασης ή εμφανίζουν ελαττώματα, ο ανάδοχος είναι υποχρεωμένος να τα αποκαταστήσει ή βελτιώσει σύμφωνα με τις ισχύουσες διατάξεις. </w:t>
      </w:r>
      <w:r w:rsidRPr="00BA2DF6">
        <w:rPr>
          <w:rFonts w:ascii="Georgia" w:hAnsi="Georgia" w:cs="Georgia"/>
          <w:sz w:val="22"/>
          <w:szCs w:val="22"/>
        </w:rPr>
        <w:t>(άρθρο 34</w:t>
      </w:r>
      <w:r>
        <w:rPr>
          <w:rFonts w:ascii="Georgia" w:hAnsi="Georgia" w:cs="Georgia"/>
          <w:sz w:val="22"/>
          <w:szCs w:val="22"/>
        </w:rPr>
        <w:t xml:space="preserve"> </w:t>
      </w:r>
      <w:r w:rsidRPr="00BA2DF6">
        <w:rPr>
          <w:rFonts w:ascii="Georgia" w:hAnsi="Georgia" w:cs="Georgia"/>
          <w:sz w:val="22"/>
          <w:szCs w:val="22"/>
        </w:rPr>
        <w:t>ΕΚΠΟΤΑ) .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CC2074" w:rsidRPr="000C6A4E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  <w:r w:rsidRPr="000C6A4E">
        <w:rPr>
          <w:rFonts w:ascii="Georgia" w:hAnsi="Georgia" w:cs="Georgia"/>
          <w:b/>
          <w:bCs/>
          <w:sz w:val="22"/>
          <w:szCs w:val="22"/>
        </w:rPr>
        <w:t>Άρθρο 8 ο :Φόροι, τέλη, κρατήσεις</w:t>
      </w:r>
      <w:r>
        <w:rPr>
          <w:rFonts w:ascii="Georgia" w:hAnsi="Georgia" w:cs="Georgia"/>
          <w:b/>
          <w:bCs/>
          <w:sz w:val="22"/>
          <w:szCs w:val="22"/>
        </w:rPr>
        <w:t>-έξοδα δημοσίευσης</w:t>
      </w:r>
    </w:p>
    <w:p w:rsidR="00CC2074" w:rsidRPr="00BA2DF6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Ο ανάδοχος </w:t>
      </w:r>
      <w:r>
        <w:rPr>
          <w:rFonts w:ascii="Georgia" w:hAnsi="Georgia" w:cs="Georgia"/>
          <w:sz w:val="22"/>
          <w:szCs w:val="22"/>
        </w:rPr>
        <w:t xml:space="preserve">βαρύνεται με τα έξοδα δημοσίευσης του παρόντος διαγωνισμού και </w:t>
      </w:r>
      <w:r w:rsidRPr="00BA2DF6">
        <w:rPr>
          <w:rFonts w:ascii="Georgia" w:hAnsi="Georgia" w:cs="Georgia"/>
          <w:sz w:val="22"/>
          <w:szCs w:val="22"/>
        </w:rPr>
        <w:t>υπόκειται σε όλους τους βάσει των κειμένων διατάξεων φόρους, τέλη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  <w:r w:rsidRPr="00BA2DF6">
        <w:rPr>
          <w:rFonts w:ascii="Georgia" w:hAnsi="Georgia" w:cs="Georgia"/>
          <w:sz w:val="22"/>
          <w:szCs w:val="22"/>
        </w:rPr>
        <w:t xml:space="preserve">και κρατήσεις που θα ισχύουν κατά την ημέρα της διενέργειας της προμήθειας . </w:t>
      </w: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CC2074" w:rsidRDefault="00CC2074" w:rsidP="003901AC">
      <w:pPr>
        <w:autoSpaceDE w:val="0"/>
        <w:autoSpaceDN w:val="0"/>
        <w:adjustRightInd w:val="0"/>
        <w:rPr>
          <w:rFonts w:ascii="Georgia" w:hAnsi="Georgia" w:cs="Georgia"/>
          <w:sz w:val="22"/>
          <w:szCs w:val="22"/>
        </w:rPr>
      </w:pPr>
    </w:p>
    <w:p w:rsidR="00CC2074" w:rsidRDefault="00CC2074" w:rsidP="003901AC">
      <w:pPr>
        <w:rPr>
          <w:rFonts w:ascii="Georgia" w:hAnsi="Georgia" w:cs="Georgia"/>
        </w:rPr>
      </w:pPr>
      <w:r>
        <w:t xml:space="preserve">                                                    </w:t>
      </w:r>
      <w:r w:rsidRPr="00D42C50">
        <w:rPr>
          <w:rFonts w:ascii="Georgia" w:hAnsi="Georgia" w:cs="Georgia"/>
        </w:rPr>
        <w:t xml:space="preserve">Σητεία  </w:t>
      </w:r>
      <w:r>
        <w:rPr>
          <w:rFonts w:ascii="Georgia" w:hAnsi="Georgia" w:cs="Georgia"/>
        </w:rPr>
        <w:t>20</w:t>
      </w:r>
      <w:r w:rsidRPr="00D42C50">
        <w:rPr>
          <w:rFonts w:ascii="Georgia" w:hAnsi="Georgia" w:cs="Georgia"/>
        </w:rPr>
        <w:t>-</w:t>
      </w:r>
      <w:r w:rsidRPr="00623E80">
        <w:rPr>
          <w:rFonts w:ascii="Georgia" w:hAnsi="Georgia" w:cs="Georgia"/>
        </w:rPr>
        <w:t>0</w:t>
      </w:r>
      <w:r>
        <w:rPr>
          <w:rFonts w:ascii="Georgia" w:hAnsi="Georgia" w:cs="Georgia"/>
        </w:rPr>
        <w:t>5</w:t>
      </w:r>
      <w:r w:rsidRPr="00D42C50">
        <w:rPr>
          <w:rFonts w:ascii="Georgia" w:hAnsi="Georgia" w:cs="Georgia"/>
        </w:rPr>
        <w:t>- 201</w:t>
      </w:r>
      <w:r>
        <w:rPr>
          <w:rFonts w:ascii="Georgia" w:hAnsi="Georgia" w:cs="Georgia"/>
        </w:rPr>
        <w:t>5</w:t>
      </w:r>
    </w:p>
    <w:p w:rsidR="00CC2074" w:rsidRDefault="00CC2074" w:rsidP="003901AC">
      <w:pPr>
        <w:rPr>
          <w:rFonts w:ascii="Georgia" w:hAnsi="Georgia" w:cs="Georgia"/>
        </w:rPr>
      </w:pPr>
    </w:p>
    <w:p w:rsidR="00CC2074" w:rsidRPr="00D42C50" w:rsidRDefault="00CC2074" w:rsidP="003901AC">
      <w:pPr>
        <w:rPr>
          <w:rFonts w:ascii="Georgia" w:hAnsi="Georgia" w:cs="Georgia"/>
        </w:rPr>
      </w:pPr>
    </w:p>
    <w:p w:rsidR="00CC2074" w:rsidRDefault="00CC2074" w:rsidP="003901AC">
      <w:pPr>
        <w:rPr>
          <w:rFonts w:ascii="Georgia" w:hAnsi="Georgia" w:cs="Georgia"/>
          <w:sz w:val="22"/>
          <w:szCs w:val="22"/>
        </w:rPr>
      </w:pPr>
    </w:p>
    <w:p w:rsidR="00CC2074" w:rsidRPr="006004F5" w:rsidRDefault="00CC2074" w:rsidP="003901AC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</w:t>
      </w:r>
      <w:r w:rsidRPr="006004F5">
        <w:rPr>
          <w:rFonts w:ascii="Georgia" w:hAnsi="Georgia" w:cs="Georgia"/>
          <w:sz w:val="22"/>
          <w:szCs w:val="22"/>
        </w:rPr>
        <w:t xml:space="preserve">Θεωρήθηκε </w:t>
      </w:r>
      <w:r>
        <w:rPr>
          <w:rFonts w:ascii="Georgia" w:hAnsi="Georgia" w:cs="Georgia"/>
          <w:sz w:val="22"/>
          <w:szCs w:val="22"/>
        </w:rPr>
        <w:t xml:space="preserve">                                                                                     Ο </w:t>
      </w:r>
      <w:r w:rsidRPr="006004F5">
        <w:rPr>
          <w:rFonts w:ascii="Georgia" w:hAnsi="Georgia" w:cs="Georgia"/>
          <w:sz w:val="22"/>
          <w:szCs w:val="22"/>
        </w:rPr>
        <w:t xml:space="preserve"> Συντάξας</w:t>
      </w:r>
    </w:p>
    <w:p w:rsidR="00CC2074" w:rsidRPr="00C6687E" w:rsidRDefault="00CC2074" w:rsidP="003901AC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Ο Διευθυντής  Τ.Υ.             </w:t>
      </w:r>
      <w:r w:rsidRPr="006004F5">
        <w:rPr>
          <w:rFonts w:ascii="Georgia" w:hAnsi="Georgia" w:cs="Georgia"/>
          <w:sz w:val="22"/>
          <w:szCs w:val="22"/>
        </w:rPr>
        <w:t xml:space="preserve">               </w:t>
      </w:r>
      <w:r>
        <w:rPr>
          <w:rFonts w:ascii="Georgia" w:hAnsi="Georgia" w:cs="Georgia"/>
          <w:sz w:val="22"/>
          <w:szCs w:val="22"/>
        </w:rPr>
        <w:t xml:space="preserve">                           </w:t>
      </w:r>
    </w:p>
    <w:p w:rsidR="00CC2074" w:rsidRDefault="00CC2074" w:rsidP="003901AC">
      <w:pPr>
        <w:rPr>
          <w:rFonts w:ascii="Georgia" w:hAnsi="Georgia" w:cs="Georgia"/>
          <w:sz w:val="22"/>
          <w:szCs w:val="22"/>
        </w:rPr>
      </w:pPr>
    </w:p>
    <w:p w:rsidR="00CC2074" w:rsidRPr="00C6687E" w:rsidRDefault="00CC2074" w:rsidP="003901AC">
      <w:pPr>
        <w:rPr>
          <w:rFonts w:ascii="Georgia" w:hAnsi="Georgia" w:cs="Georgia"/>
          <w:sz w:val="22"/>
          <w:szCs w:val="22"/>
        </w:rPr>
      </w:pPr>
    </w:p>
    <w:p w:rsidR="00CC2074" w:rsidRDefault="00CC2074" w:rsidP="003901AC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Τσουκνάκης Νικόλαος                                                                    Τηνιακός Ιωσήφ</w:t>
      </w:r>
    </w:p>
    <w:p w:rsidR="00CC2074" w:rsidRPr="003901AC" w:rsidRDefault="00CC2074" w:rsidP="003901AC">
      <w:r>
        <w:rPr>
          <w:rFonts w:ascii="Georgia" w:hAnsi="Georgia" w:cs="Georgia"/>
          <w:sz w:val="22"/>
          <w:szCs w:val="22"/>
        </w:rPr>
        <w:t>Πολιτικός Μηχανικός ΕΜΠ                                                       Μηχ/γος Μηχανικός</w:t>
      </w:r>
    </w:p>
    <w:p w:rsidR="00CC2074" w:rsidRPr="003901AC" w:rsidRDefault="00CC2074" w:rsidP="003901AC"/>
    <w:sectPr w:rsidR="00CC2074" w:rsidRPr="003901AC" w:rsidSect="00EE2B12">
      <w:pgSz w:w="11906" w:h="16838"/>
      <w:pgMar w:top="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032C7"/>
    <w:multiLevelType w:val="hybridMultilevel"/>
    <w:tmpl w:val="54B63B4E"/>
    <w:lvl w:ilvl="0" w:tplc="AF2C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AC"/>
    <w:rsid w:val="0007166D"/>
    <w:rsid w:val="000C6A4E"/>
    <w:rsid w:val="00162BA6"/>
    <w:rsid w:val="001B3941"/>
    <w:rsid w:val="001C4F14"/>
    <w:rsid w:val="003901AC"/>
    <w:rsid w:val="003C5EFB"/>
    <w:rsid w:val="003E3B3D"/>
    <w:rsid w:val="0049120A"/>
    <w:rsid w:val="004B04F7"/>
    <w:rsid w:val="004C70F2"/>
    <w:rsid w:val="00545477"/>
    <w:rsid w:val="00562BC7"/>
    <w:rsid w:val="006004F5"/>
    <w:rsid w:val="006035C7"/>
    <w:rsid w:val="00623E80"/>
    <w:rsid w:val="0067298D"/>
    <w:rsid w:val="006E4C96"/>
    <w:rsid w:val="00794953"/>
    <w:rsid w:val="007F4506"/>
    <w:rsid w:val="00826E78"/>
    <w:rsid w:val="00856FF2"/>
    <w:rsid w:val="008B02C6"/>
    <w:rsid w:val="00921571"/>
    <w:rsid w:val="00A34FBD"/>
    <w:rsid w:val="00AE75B5"/>
    <w:rsid w:val="00B02147"/>
    <w:rsid w:val="00B32F25"/>
    <w:rsid w:val="00B91890"/>
    <w:rsid w:val="00BA2DF6"/>
    <w:rsid w:val="00C030DD"/>
    <w:rsid w:val="00C31FF8"/>
    <w:rsid w:val="00C6687E"/>
    <w:rsid w:val="00CA1079"/>
    <w:rsid w:val="00CC2074"/>
    <w:rsid w:val="00D42C50"/>
    <w:rsid w:val="00D91CA7"/>
    <w:rsid w:val="00DC4957"/>
    <w:rsid w:val="00E540D9"/>
    <w:rsid w:val="00E7106C"/>
    <w:rsid w:val="00E919D7"/>
    <w:rsid w:val="00EE2B12"/>
    <w:rsid w:val="00EE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AC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01A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 w:cs="Tahoma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3901AC"/>
    <w:rPr>
      <w:rFonts w:ascii="Tahoma" w:hAnsi="Tahoma" w:cs="Tahoma"/>
      <w:b/>
      <w:bCs/>
      <w:sz w:val="20"/>
      <w:szCs w:val="20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1147</Words>
  <Characters>6197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dimospc05</dc:creator>
  <cp:keywords/>
  <dc:description/>
  <cp:lastModifiedBy>user</cp:lastModifiedBy>
  <cp:revision>2</cp:revision>
  <dcterms:created xsi:type="dcterms:W3CDTF">2015-06-24T07:31:00Z</dcterms:created>
  <dcterms:modified xsi:type="dcterms:W3CDTF">2015-06-24T07:31:00Z</dcterms:modified>
</cp:coreProperties>
</file>