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44E78" w:rsidRPr="00E26525" w:rsidTr="00B27689">
        <w:trPr>
          <w:trHeight w:val="2127"/>
        </w:trPr>
        <w:tc>
          <w:tcPr>
            <w:tcW w:w="3979" w:type="dxa"/>
          </w:tcPr>
          <w:p w:rsidR="00244E78" w:rsidRPr="00E26525" w:rsidRDefault="00BD2AAC" w:rsidP="00B27689">
            <w:r w:rsidRPr="00BD2AAC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03864991" r:id="rId7"/>
              </w:pict>
            </w:r>
            <w:r w:rsidR="00244E78" w:rsidRPr="00AA61DD">
              <w:rPr>
                <w:sz w:val="22"/>
                <w:szCs w:val="22"/>
              </w:rPr>
              <w:br w:type="page"/>
            </w:r>
            <w:r w:rsidR="00244E78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244E78" w:rsidRPr="00E26525" w:rsidRDefault="007D27F3" w:rsidP="00B27689">
            <w:r>
              <w:rPr>
                <w:sz w:val="22"/>
                <w:szCs w:val="22"/>
              </w:rPr>
              <w:t>Δ</w:t>
            </w:r>
            <w:r w:rsidR="00244E78" w:rsidRPr="00E26525">
              <w:rPr>
                <w:sz w:val="22"/>
                <w:szCs w:val="22"/>
              </w:rPr>
              <w:t xml:space="preserve">ΗΜΟΣ  ΣΗΤΕΙΑΣ </w:t>
            </w:r>
          </w:p>
          <w:p w:rsidR="00244E78" w:rsidRPr="00E26525" w:rsidRDefault="00244E78" w:rsidP="00B27689"/>
          <w:p w:rsidR="00244E78" w:rsidRPr="00E26525" w:rsidRDefault="00244E78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</w:p>
          <w:p w:rsidR="00D325DD" w:rsidRDefault="00D325DD" w:rsidP="00B27689">
            <w:pPr>
              <w:jc w:val="center"/>
            </w:pPr>
          </w:p>
          <w:p w:rsidR="00244E78" w:rsidRPr="00426539" w:rsidRDefault="00244E78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244E78" w:rsidRPr="00426539" w:rsidRDefault="00244E78" w:rsidP="00B27689">
            <w:pPr>
              <w:jc w:val="center"/>
            </w:pPr>
          </w:p>
        </w:tc>
        <w:tc>
          <w:tcPr>
            <w:tcW w:w="3471" w:type="dxa"/>
          </w:tcPr>
          <w:p w:rsidR="00244E78" w:rsidRPr="00426539" w:rsidRDefault="00244E78" w:rsidP="00B27689"/>
          <w:p w:rsidR="00D325DD" w:rsidRPr="007D27F3" w:rsidRDefault="00D325DD" w:rsidP="00D325DD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 w:rsidR="007D27F3" w:rsidRPr="007D27F3">
              <w:rPr>
                <w:szCs w:val="22"/>
              </w:rPr>
              <w:t>9</w:t>
            </w:r>
            <w:r>
              <w:rPr>
                <w:szCs w:val="22"/>
              </w:rPr>
              <w:t>-</w:t>
            </w:r>
            <w:r w:rsidR="007D27F3" w:rsidRPr="007D27F3">
              <w:rPr>
                <w:szCs w:val="22"/>
              </w:rPr>
              <w:t>20</w:t>
            </w:r>
          </w:p>
          <w:p w:rsidR="00244E78" w:rsidRPr="00426539" w:rsidRDefault="00244E78" w:rsidP="00B27689"/>
          <w:p w:rsidR="003A0088" w:rsidRPr="00D325DD" w:rsidRDefault="007D27F3" w:rsidP="003A0088">
            <w:r w:rsidRPr="00997079">
              <w:rPr>
                <w:sz w:val="22"/>
                <w:szCs w:val="22"/>
              </w:rPr>
              <w:t xml:space="preserve">   </w:t>
            </w:r>
            <w:r w:rsidR="00B42195" w:rsidRPr="00B42195">
              <w:rPr>
                <w:sz w:val="22"/>
                <w:szCs w:val="22"/>
                <w:lang w:val="en-US"/>
              </w:rPr>
              <w:t>6194</w:t>
            </w:r>
            <w:r w:rsidR="003A0088" w:rsidRPr="00B42195">
              <w:rPr>
                <w:sz w:val="22"/>
                <w:szCs w:val="22"/>
                <w:lang w:val="en-US"/>
              </w:rPr>
              <w:t>/</w:t>
            </w:r>
            <w:r w:rsidR="00997079" w:rsidRPr="00B42195">
              <w:rPr>
                <w:sz w:val="22"/>
                <w:szCs w:val="22"/>
                <w:lang w:val="en-US"/>
              </w:rPr>
              <w:t>16</w:t>
            </w:r>
            <w:r w:rsidR="003A0088" w:rsidRPr="00B42195">
              <w:rPr>
                <w:sz w:val="22"/>
                <w:szCs w:val="22"/>
                <w:lang w:val="en-US"/>
              </w:rPr>
              <w:t>-1</w:t>
            </w:r>
            <w:r w:rsidRPr="00B42195">
              <w:rPr>
                <w:sz w:val="22"/>
                <w:szCs w:val="22"/>
                <w:lang w:val="en-US"/>
              </w:rPr>
              <w:t>1</w:t>
            </w:r>
            <w:r w:rsidR="003A0088" w:rsidRPr="00B42195">
              <w:rPr>
                <w:sz w:val="22"/>
                <w:szCs w:val="22"/>
                <w:lang w:val="en-US"/>
              </w:rPr>
              <w:t>-201</w:t>
            </w:r>
            <w:r w:rsidRPr="00B42195">
              <w:rPr>
                <w:sz w:val="22"/>
                <w:szCs w:val="22"/>
                <w:lang w:val="en-US"/>
              </w:rPr>
              <w:t>8</w:t>
            </w:r>
          </w:p>
          <w:p w:rsidR="00244E78" w:rsidRPr="00426539" w:rsidRDefault="00244E78" w:rsidP="00B27689"/>
          <w:p w:rsidR="00244E78" w:rsidRPr="00426539" w:rsidRDefault="00244E78" w:rsidP="00B27689"/>
          <w:p w:rsidR="00244E78" w:rsidRPr="00426539" w:rsidRDefault="00244E78" w:rsidP="00B27689"/>
        </w:tc>
      </w:tr>
    </w:tbl>
    <w:p w:rsidR="00244E78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ΚΑΥΣΙΜΩΝ</w:t>
      </w:r>
    </w:p>
    <w:p w:rsidR="00244E78" w:rsidRPr="00E26525" w:rsidRDefault="00244E78" w:rsidP="00244E78">
      <w:pPr>
        <w:ind w:right="-148"/>
        <w:jc w:val="center"/>
        <w:rPr>
          <w:b/>
          <w:sz w:val="22"/>
          <w:szCs w:val="22"/>
          <w:u w:val="single"/>
        </w:rPr>
      </w:pPr>
    </w:p>
    <w:p w:rsidR="00244E78" w:rsidRPr="00E26525" w:rsidRDefault="00244E78" w:rsidP="00244E78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244E78" w:rsidRPr="00E26525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244E78" w:rsidRDefault="00244E78" w:rsidP="00244E78">
      <w:pPr>
        <w:ind w:right="-148"/>
        <w:rPr>
          <w:sz w:val="22"/>
          <w:szCs w:val="22"/>
        </w:rPr>
      </w:pPr>
    </w:p>
    <w:p w:rsidR="00244E78" w:rsidRDefault="00244E78" w:rsidP="00244E78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244E78" w:rsidRDefault="00244E78" w:rsidP="00244E78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45"/>
        <w:gridCol w:w="1774"/>
        <w:gridCol w:w="3278"/>
        <w:gridCol w:w="1155"/>
        <w:gridCol w:w="1299"/>
        <w:gridCol w:w="1457"/>
      </w:tblGrid>
      <w:tr w:rsidR="00244E78" w:rsidRPr="004145A2" w:rsidTr="00244E78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244E78" w:rsidRPr="004145A2" w:rsidTr="00244E78">
        <w:trPr>
          <w:trHeight w:val="20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Πετρέλαιο κίνησης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Diesel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1CC0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Β/9-10-2006) :Καύσιμα αυτοκινήτων - Πετρέλαιο κίνησης-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αριθμ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460/2009/10 (ΦΕΚ 67 Β/28-1-2010) απόφαση Υπουργών Οικονομικών - Περιβάλλοντος, Ενέργειας και Κλιματικών αλλαγών,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Αριθμός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Κετανίων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51,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 46, μέγιστη περιεκτικότητα σε θείο 10mg/kg.</w:t>
            </w:r>
          </w:p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 Το καύσιμο πρέπει να είναι  απαλλαγμένο από άλλες προσμίξεις όπως νερό και πετρέλαιο θέρμανσης.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8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Βενζίνη αμόλυβδη 95 οκτανίων</w:t>
            </w:r>
            <w:r>
              <w:rPr>
                <w:color w:val="000000"/>
                <w:sz w:val="20"/>
                <w:szCs w:val="20"/>
              </w:rPr>
              <w:t>:</w:t>
            </w:r>
            <w:r w:rsidRPr="00DE1CC0">
              <w:rPr>
                <w:color w:val="000000"/>
                <w:sz w:val="20"/>
                <w:szCs w:val="20"/>
              </w:rPr>
              <w:t xml:space="preserve"> πρέπει να είναι σύμφωνα με τις προδιαγραφές της ΚΥΑ των υπουργών Οικονομίας &amp; </w:t>
            </w:r>
            <w:r w:rsidRPr="00DE1CC0">
              <w:rPr>
                <w:color w:val="000000"/>
                <w:sz w:val="20"/>
                <w:szCs w:val="20"/>
              </w:rPr>
              <w:lastRenderedPageBreak/>
              <w:t>οικονομικών και Ανάπτυξης περιβάλλοντος ,χωροταξίας και Δημοσίων Έργων με αρ. 510/2004/07 (ΦΕΚ 872 Β/4-6-2007) : Καύσιμα Αυτοκινήτων - Αμόλυβδη Βενζίνη - Απαιτή</w:t>
            </w:r>
            <w:r w:rsidRPr="00DE1CC0">
              <w:rPr>
                <w:color w:val="000000"/>
                <w:sz w:val="20"/>
                <w:szCs w:val="20"/>
              </w:rPr>
              <w:softHyphen/>
              <w:t xml:space="preserve">σεις και Μέθοδοι Δοκιμών, και σύμφωνα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με</w:t>
            </w:r>
            <w:r w:rsidRPr="00DE1CC0">
              <w:rPr>
                <w:color w:val="000000"/>
                <w:sz w:val="20"/>
                <w:szCs w:val="20"/>
              </w:rPr>
              <w:t xml:space="preserve"> την ΚΥΑ των υπουργών Οικονομικών -Ανάπτυξης, Ανταγωνιστικότητας και Ναυτιλίας-Περιβάλλοντος, ενέργειας &amp; κλιματικής αλλαγής-προστασίας του Πολίτη με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αρ</w:t>
            </w:r>
            <w:r w:rsidRPr="00DE1CC0">
              <w:rPr>
                <w:color w:val="000000"/>
                <w:sz w:val="20"/>
                <w:szCs w:val="20"/>
              </w:rPr>
              <w:t>.316/2010 (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ΦΕΚ</w:t>
            </w:r>
            <w:r w:rsidRPr="00DE1CC0">
              <w:rPr>
                <w:color w:val="000000"/>
                <w:sz w:val="20"/>
                <w:szCs w:val="20"/>
              </w:rPr>
              <w:t xml:space="preserve"> 501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</w:t>
            </w:r>
            <w:r w:rsidRPr="00DE1CC0">
              <w:rPr>
                <w:color w:val="000000"/>
                <w:sz w:val="20"/>
                <w:szCs w:val="20"/>
              </w:rPr>
              <w:t xml:space="preserve">/29-02-2012)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«Προσαρμογή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ελληνικής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νομοθεσίας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στον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τομέα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ποιότητας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καυσίμων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βενζίνης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ντίζελ</w:t>
            </w:r>
            <w:r w:rsidRPr="00DE1CC0">
              <w:rPr>
                <w:color w:val="000000"/>
                <w:sz w:val="20"/>
                <w:szCs w:val="20"/>
              </w:rPr>
              <w:t xml:space="preserve">,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προς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την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οδηγία</w:t>
            </w:r>
            <w:r w:rsidRPr="00DE1CC0">
              <w:rPr>
                <w:color w:val="000000"/>
                <w:sz w:val="20"/>
                <w:szCs w:val="20"/>
              </w:rPr>
              <w:t xml:space="preserve"> 2009/30/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</w:t>
            </w:r>
            <w:r w:rsidRPr="00DE1CC0">
              <w:rPr>
                <w:color w:val="000000"/>
                <w:sz w:val="20"/>
                <w:szCs w:val="20"/>
              </w:rPr>
              <w:t>.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</w:t>
            </w:r>
            <w:r w:rsidRPr="00DE1CC0">
              <w:rPr>
                <w:color w:val="000000"/>
                <w:sz w:val="20"/>
                <w:szCs w:val="20"/>
              </w:rPr>
              <w:t xml:space="preserve">.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Ευρωπαϊκού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Κοινοβουλίου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και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του</w:t>
            </w:r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r w:rsidRPr="00DE1CC0">
              <w:rPr>
                <w:rFonts w:hint="eastAsia"/>
                <w:color w:val="000000"/>
                <w:sz w:val="20"/>
                <w:szCs w:val="20"/>
              </w:rPr>
              <w:t>Συμβουλίου</w:t>
            </w:r>
            <w:r w:rsidRPr="00DE1CC0">
              <w:rPr>
                <w:color w:val="000000"/>
                <w:sz w:val="20"/>
                <w:szCs w:val="20"/>
              </w:rPr>
              <w:t xml:space="preserve"> , όπως :  Αριθμός οκτανίου, RON 95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ελάχ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., μέγιστη περιεκτικότητα σε θείο 10mg/kg., περιεκτικότητα σε μόλυβδο 0,005 g/l.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Σε καμιά περίπτωση δεν επιτρέπεται ανάμιξη με βενζίνη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>, νερό ή πετρέλαιο.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244E78" w:rsidRPr="004145A2" w:rsidTr="00244E78">
        <w:trPr>
          <w:trHeight w:val="7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E78" w:rsidRPr="00545398" w:rsidRDefault="00244E78" w:rsidP="00B27689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E78" w:rsidRPr="00DE1CC0" w:rsidRDefault="00244E78" w:rsidP="00B27689">
            <w:pPr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θέρμανσης, όπως : Δείκτης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. 40, το πετρέλαιο θέρμανσης έχει χρώμα κόκκινο και περιέχει ιχνηθέτη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solvent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124, σε ποσοστό 6 χιλιοστόγραμμα ανά λίτρο, η ένταση του χρωματισμού κυμαίνεται από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3 ως ASTM </w:t>
            </w:r>
            <w:proofErr w:type="spellStart"/>
            <w:r w:rsidRPr="00DE1CC0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DE1CC0">
              <w:rPr>
                <w:color w:val="000000"/>
                <w:sz w:val="20"/>
                <w:szCs w:val="20"/>
              </w:rPr>
              <w:t xml:space="preserve"> 5.</w:t>
            </w:r>
          </w:p>
          <w:p w:rsidR="00244E78" w:rsidRPr="00DE1CC0" w:rsidRDefault="00244E78" w:rsidP="00B276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CC0">
              <w:rPr>
                <w:color w:val="000000"/>
                <w:sz w:val="20"/>
                <w:szCs w:val="20"/>
              </w:rPr>
              <w:t>Το καύσιμο πρέπει να είναι απαλλαγμένο από άλλες προσμίξεις (νερό, πετρέλαιο κίνησης κτλ.).</w:t>
            </w:r>
          </w:p>
          <w:p w:rsidR="00244E78" w:rsidRPr="00545398" w:rsidRDefault="00244E78" w:rsidP="00B27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E78" w:rsidRPr="004145A2" w:rsidRDefault="00244E78" w:rsidP="00B27689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E78" w:rsidRPr="004145A2" w:rsidRDefault="00244E78" w:rsidP="00B27689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244E78" w:rsidRPr="00556D0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244E78" w:rsidRDefault="00244E78" w:rsidP="00244E7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244E78" w:rsidRDefault="00244E78" w:rsidP="00244E78"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F2" w:rsidRDefault="00915FF2" w:rsidP="00244E78">
      <w:r>
        <w:separator/>
      </w:r>
    </w:p>
  </w:endnote>
  <w:endnote w:type="continuationSeparator" w:id="0">
    <w:p w:rsidR="00915FF2" w:rsidRDefault="00915FF2" w:rsidP="0024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F2" w:rsidRDefault="00915FF2" w:rsidP="00244E78">
      <w:r>
        <w:separator/>
      </w:r>
    </w:p>
  </w:footnote>
  <w:footnote w:type="continuationSeparator" w:id="0">
    <w:p w:rsidR="00915FF2" w:rsidRDefault="00915FF2" w:rsidP="00244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7"/>
      <w:docPartObj>
        <w:docPartGallery w:val="Page Numbers (Top of Page)"/>
        <w:docPartUnique/>
      </w:docPartObj>
    </w:sdtPr>
    <w:sdtContent>
      <w:p w:rsidR="00244E78" w:rsidRDefault="00BD2AAC">
        <w:pPr>
          <w:pStyle w:val="a3"/>
          <w:jc w:val="right"/>
        </w:pPr>
        <w:fldSimple w:instr=" PAGE   \* MERGEFORMAT ">
          <w:r w:rsidR="00B42195">
            <w:rPr>
              <w:noProof/>
            </w:rPr>
            <w:t>1</w:t>
          </w:r>
        </w:fldSimple>
      </w:p>
    </w:sdtContent>
  </w:sdt>
  <w:p w:rsidR="00244E78" w:rsidRDefault="00244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E78"/>
    <w:rsid w:val="00115F80"/>
    <w:rsid w:val="00136BDE"/>
    <w:rsid w:val="001D2FD0"/>
    <w:rsid w:val="0020619D"/>
    <w:rsid w:val="0021276F"/>
    <w:rsid w:val="00244E78"/>
    <w:rsid w:val="002E51F6"/>
    <w:rsid w:val="003A0088"/>
    <w:rsid w:val="003B5DF2"/>
    <w:rsid w:val="004B3EEC"/>
    <w:rsid w:val="005E4205"/>
    <w:rsid w:val="00653D5D"/>
    <w:rsid w:val="006E743A"/>
    <w:rsid w:val="00705B93"/>
    <w:rsid w:val="00797D56"/>
    <w:rsid w:val="007D27F3"/>
    <w:rsid w:val="00841D03"/>
    <w:rsid w:val="008D6F7D"/>
    <w:rsid w:val="00915FF2"/>
    <w:rsid w:val="00997079"/>
    <w:rsid w:val="00A93DDD"/>
    <w:rsid w:val="00B42195"/>
    <w:rsid w:val="00BB361E"/>
    <w:rsid w:val="00BD2AAC"/>
    <w:rsid w:val="00D325DD"/>
    <w:rsid w:val="00E41AD5"/>
    <w:rsid w:val="00EB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44E7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44E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10</cp:revision>
  <dcterms:created xsi:type="dcterms:W3CDTF">2016-11-18T10:46:00Z</dcterms:created>
  <dcterms:modified xsi:type="dcterms:W3CDTF">2018-11-16T07:17:00Z</dcterms:modified>
</cp:coreProperties>
</file>